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9811E" w14:textId="6AD977C0" w:rsidR="005A6DDA" w:rsidRDefault="005A6DDA" w:rsidP="001834A3">
      <w:pPr>
        <w:jc w:val="both"/>
      </w:pPr>
      <w:r>
        <w:t>Zamawiający wymaga, aby wykonawca, na terenie szpitala objętym przedmiotem zamówienia, dostarczył, zainstalował i skonfigurował telefonię bezprzewodową DECT. Zamawiający informuje, że obecnie użytkowanym przez Szpital systemem telekomunikacyjnym  jest platforma Avaya IP Office. Wymagane jest zaoferowanie telefonii bezprzewodowej DECT umożliwiającej stosowanie zarówno stacji bazowych typu IP-DECT podłączanych do sieci LAN, jak i cyfrowych stacji bazowych DECT, podłączanych do fizycznych portów cyfrowych posiadanej przez Zamawiającego fizycznej Bramy Głosowej Avaya IP500V2</w:t>
      </w:r>
      <w:r w:rsidR="001834A3">
        <w:t xml:space="preserve">. </w:t>
      </w:r>
      <w:r>
        <w:t>Rozwiązanie musi umożliwiać dołączenie cyfrowych stacji bazowych z użyciem okablowania</w:t>
      </w:r>
      <w:r w:rsidR="001834A3">
        <w:t xml:space="preserve"> </w:t>
      </w:r>
      <w:r>
        <w:t>telekomunikacyjnego miedzianego kategorii 3 lub wyższej, na odległość co najmniej 1000 metrów oraz</w:t>
      </w:r>
      <w:r w:rsidR="001834A3">
        <w:t xml:space="preserve"> </w:t>
      </w:r>
      <w:r>
        <w:t>możliwość zasilania stacji bazowej przez Bramę Głosową</w:t>
      </w:r>
      <w:r w:rsidR="001834A3">
        <w:t xml:space="preserve"> Avaya IP500V2A. </w:t>
      </w:r>
      <w:r>
        <w:t>Rozwiązanie musi umożliwiać mieszanie obu rodzajów stacji w ramach jednego systemu w sposób</w:t>
      </w:r>
      <w:r w:rsidR="001834A3">
        <w:t xml:space="preserve"> </w:t>
      </w:r>
      <w:r>
        <w:t>umożliwiający osiągnięcie pełnej funkcjonalności systemu (m.in. centralne zarządzanie</w:t>
      </w:r>
      <w:r w:rsidR="001834A3">
        <w:t xml:space="preserve"> z poziomu konsoli zarządzającej Avaya IP Office</w:t>
      </w:r>
      <w:r>
        <w:t>) oraz</w:t>
      </w:r>
      <w:r w:rsidR="001834A3">
        <w:t xml:space="preserve"> </w:t>
      </w:r>
      <w:r>
        <w:t>przemieszczanie się w obrębie zasięgu wszystkich stacji bazowych z aktywną rozmową bez jej przerywania</w:t>
      </w:r>
      <w:r w:rsidR="001834A3">
        <w:t xml:space="preserve"> </w:t>
      </w:r>
      <w:r>
        <w:t>(realizację funkcji „</w:t>
      </w:r>
      <w:proofErr w:type="spellStart"/>
      <w:r>
        <w:t>handover</w:t>
      </w:r>
      <w:proofErr w:type="spellEnd"/>
      <w:r>
        <w:t>” pomiędzy stacjami bazowymi obydwu rodzajów). Zamawiający nie</w:t>
      </w:r>
      <w:r w:rsidR="001834A3">
        <w:t xml:space="preserve"> </w:t>
      </w:r>
      <w:r>
        <w:t>dopuszcza osiągnięcia opisanej powyżej funkcjonalności z wykorzystaniem zewnętrznych urządzeń</w:t>
      </w:r>
      <w:r w:rsidR="001834A3">
        <w:t xml:space="preserve"> </w:t>
      </w:r>
      <w:r>
        <w:t>konwertujących port LAN na inny rodzaj transmisji, realizowanej za pomocą kabla telekomunikacyjnego.</w:t>
      </w:r>
    </w:p>
    <w:p w14:paraId="181B20F0" w14:textId="406B175C" w:rsidR="005A6DDA" w:rsidRDefault="001834A3" w:rsidP="001834A3">
      <w:pPr>
        <w:jc w:val="both"/>
      </w:pPr>
      <w:r>
        <w:t>Wymagania szczegółowe:</w:t>
      </w:r>
    </w:p>
    <w:p w14:paraId="4F194808" w14:textId="77777777" w:rsidR="005A6DDA" w:rsidRDefault="005A6DDA" w:rsidP="001834A3">
      <w:pPr>
        <w:jc w:val="both"/>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7"/>
        <w:gridCol w:w="8479"/>
      </w:tblGrid>
      <w:tr w:rsidR="005A6DDA" w:rsidRPr="001B6EDA" w14:paraId="6F466D10" w14:textId="77777777" w:rsidTr="005A6DDA">
        <w:trPr>
          <w:trHeight w:val="300"/>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090AEE" w14:textId="64C8C09F" w:rsidR="005A6DDA" w:rsidRPr="00290B05" w:rsidRDefault="005A6DDA" w:rsidP="001834A3">
            <w:pPr>
              <w:spacing w:after="0" w:line="240" w:lineRule="auto"/>
              <w:jc w:val="center"/>
            </w:pPr>
            <w:r w:rsidRPr="00290B05">
              <w:t>1</w:t>
            </w:r>
          </w:p>
        </w:tc>
        <w:tc>
          <w:tcPr>
            <w:tcW w:w="84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F536DD" w14:textId="00E801AF" w:rsidR="005A6DDA" w:rsidRPr="00290B05" w:rsidRDefault="005A6DDA" w:rsidP="001834A3">
            <w:pPr>
              <w:spacing w:after="0" w:line="240" w:lineRule="auto"/>
              <w:jc w:val="both"/>
            </w:pPr>
            <w:r w:rsidRPr="00E941FC">
              <w:t xml:space="preserve">Na </w:t>
            </w:r>
            <w:r w:rsidR="001834A3">
              <w:t xml:space="preserve">zaoferowany </w:t>
            </w:r>
            <w:r w:rsidRPr="00E941FC">
              <w:t>system DECT muszą składać się przynajmniej</w:t>
            </w:r>
            <w:r w:rsidRPr="00290B05">
              <w:t>: stacje bazowe IP-DECT podłączane do sieci LAN</w:t>
            </w:r>
            <w:r w:rsidR="001834A3">
              <w:t xml:space="preserve"> (</w:t>
            </w:r>
            <w:r w:rsidR="001834A3" w:rsidRPr="001834A3">
              <w:rPr>
                <w:b/>
                <w:bCs/>
              </w:rPr>
              <w:t>w ilości min. 30 sztuk</w:t>
            </w:r>
            <w:r w:rsidR="001834A3">
              <w:t xml:space="preserve">) </w:t>
            </w:r>
            <w:r w:rsidRPr="00290B05">
              <w:t>oraz kompatybilne słuchawki bezprzewodowe DECT z ładowarkami</w:t>
            </w:r>
            <w:r w:rsidR="001834A3">
              <w:t xml:space="preserve"> </w:t>
            </w:r>
          </w:p>
        </w:tc>
      </w:tr>
      <w:tr w:rsidR="005A6DDA" w:rsidRPr="001B6EDA" w14:paraId="7A745BAA" w14:textId="77777777" w:rsidTr="005A6DDA">
        <w:trPr>
          <w:trHeight w:val="300"/>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9E6C43" w14:textId="6855DB91" w:rsidR="005A6DDA" w:rsidRPr="00290B05" w:rsidRDefault="001834A3" w:rsidP="001834A3">
            <w:pPr>
              <w:spacing w:after="0" w:line="240" w:lineRule="auto"/>
              <w:jc w:val="center"/>
            </w:pPr>
            <w:r>
              <w:t>2</w:t>
            </w:r>
          </w:p>
        </w:tc>
        <w:tc>
          <w:tcPr>
            <w:tcW w:w="84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AC4232" w14:textId="77777777" w:rsidR="005A6DDA" w:rsidRPr="00290B05" w:rsidRDefault="005A6DDA" w:rsidP="001834A3">
            <w:pPr>
              <w:spacing w:after="0" w:line="240" w:lineRule="auto"/>
              <w:jc w:val="both"/>
            </w:pPr>
            <w:r w:rsidRPr="00290B05">
              <w:t>Możliwość obsługi co najmniej 150 stacji bazowych IP-DECT oraz 400 bezprzewodowych słuchawek DECT.  </w:t>
            </w:r>
          </w:p>
        </w:tc>
      </w:tr>
      <w:tr w:rsidR="005A6DDA" w:rsidRPr="001B6EDA" w14:paraId="66CDE7A5" w14:textId="77777777" w:rsidTr="005A6DDA">
        <w:trPr>
          <w:trHeight w:val="300"/>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ED915A" w14:textId="609A298A" w:rsidR="005A6DDA" w:rsidRPr="00290B05" w:rsidRDefault="001834A3" w:rsidP="001834A3">
            <w:pPr>
              <w:spacing w:after="0" w:line="240" w:lineRule="auto"/>
              <w:jc w:val="center"/>
            </w:pPr>
            <w:r>
              <w:t>3</w:t>
            </w:r>
          </w:p>
        </w:tc>
        <w:tc>
          <w:tcPr>
            <w:tcW w:w="84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EE08A2" w14:textId="77777777" w:rsidR="005A6DDA" w:rsidRPr="00290B05" w:rsidRDefault="005A6DDA" w:rsidP="001834A3">
            <w:pPr>
              <w:spacing w:after="0" w:line="240" w:lineRule="auto"/>
              <w:jc w:val="both"/>
            </w:pPr>
            <w:r w:rsidRPr="00290B05">
              <w:t>Możliwość stosowania topologii rozproszonej systemu (instalacje stacji bazowych IP-DECT w różnych lokalizacjach, zarządzane centralnie).  </w:t>
            </w:r>
          </w:p>
        </w:tc>
      </w:tr>
      <w:tr w:rsidR="005A6DDA" w:rsidRPr="001B6EDA" w14:paraId="166A85A4" w14:textId="77777777" w:rsidTr="005A6DDA">
        <w:trPr>
          <w:trHeight w:val="300"/>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3C9902" w14:textId="0F0626DC" w:rsidR="005A6DDA" w:rsidRPr="00290B05" w:rsidRDefault="001834A3" w:rsidP="001834A3">
            <w:pPr>
              <w:spacing w:after="0" w:line="240" w:lineRule="auto"/>
              <w:jc w:val="center"/>
            </w:pPr>
            <w:r>
              <w:t>4</w:t>
            </w:r>
          </w:p>
        </w:tc>
        <w:tc>
          <w:tcPr>
            <w:tcW w:w="84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C6A311" w14:textId="09C528E6" w:rsidR="005A6DDA" w:rsidRPr="00290B05" w:rsidRDefault="005A6DDA" w:rsidP="001834A3">
            <w:pPr>
              <w:spacing w:after="0" w:line="240" w:lineRule="auto"/>
              <w:jc w:val="both"/>
            </w:pPr>
            <w:r w:rsidRPr="00290B05">
              <w:t>Realizacja mechanizmu niezawodności, poprzez komunikację z Serwerami Telekomunikacyjnymi</w:t>
            </w:r>
            <w:r w:rsidR="001834A3">
              <w:t xml:space="preserve"> Avaya IP Office Server Edition</w:t>
            </w:r>
            <w:r w:rsidRPr="00290B05">
              <w:t>. Przez mechanizm niezawodności, rozumie się co najmniej możliwość realizacji połączeń przez abonentów systemu DECT w przypadku awarii Serwera Telekomunikacyjnego Podstawowego.  </w:t>
            </w:r>
          </w:p>
        </w:tc>
      </w:tr>
      <w:tr w:rsidR="005A6DDA" w:rsidRPr="001B6EDA" w14:paraId="2637AD6B" w14:textId="77777777" w:rsidTr="005A6DDA">
        <w:trPr>
          <w:trHeight w:val="300"/>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959C7A" w14:textId="7F278A53" w:rsidR="005A6DDA" w:rsidRPr="00290B05" w:rsidRDefault="001834A3" w:rsidP="001834A3">
            <w:pPr>
              <w:spacing w:after="0" w:line="240" w:lineRule="auto"/>
              <w:jc w:val="center"/>
            </w:pPr>
            <w:r>
              <w:t>5</w:t>
            </w:r>
          </w:p>
        </w:tc>
        <w:tc>
          <w:tcPr>
            <w:tcW w:w="84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A0BB20" w14:textId="77777777" w:rsidR="005A6DDA" w:rsidRPr="00290B05" w:rsidRDefault="005A6DDA" w:rsidP="001834A3">
            <w:pPr>
              <w:spacing w:after="0" w:line="240" w:lineRule="auto"/>
              <w:jc w:val="both"/>
            </w:pPr>
            <w:r w:rsidRPr="00290B05">
              <w:t>Realizacja funkcji „</w:t>
            </w:r>
            <w:proofErr w:type="spellStart"/>
            <w:r w:rsidRPr="00290B05">
              <w:t>Handover</w:t>
            </w:r>
            <w:proofErr w:type="spellEnd"/>
            <w:r w:rsidRPr="00290B05">
              <w:t>” – umożliwiającej przemieszczenie się słuchawki bezprzewodowej posiadającej aktywną rozmowę, pomiędzy zasięgiem dowolnej ilości stacji bazowych, bez rozłączenia ani przerwy w prowadzonej rozmowie.  </w:t>
            </w:r>
          </w:p>
        </w:tc>
      </w:tr>
      <w:tr w:rsidR="005A6DDA" w:rsidRPr="001B6EDA" w14:paraId="3D996D72" w14:textId="77777777" w:rsidTr="005A6DDA">
        <w:trPr>
          <w:trHeight w:val="300"/>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049FD6" w14:textId="7860E956" w:rsidR="005A6DDA" w:rsidRPr="00290B05" w:rsidRDefault="001834A3" w:rsidP="001834A3">
            <w:pPr>
              <w:spacing w:after="0" w:line="240" w:lineRule="auto"/>
              <w:jc w:val="center"/>
            </w:pPr>
            <w:r>
              <w:t>6</w:t>
            </w:r>
          </w:p>
        </w:tc>
        <w:tc>
          <w:tcPr>
            <w:tcW w:w="84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74B6E5" w14:textId="56F4DC12" w:rsidR="005A6DDA" w:rsidRPr="00290B05" w:rsidRDefault="005A6DDA" w:rsidP="001834A3">
            <w:pPr>
              <w:spacing w:after="0" w:line="240" w:lineRule="auto"/>
              <w:jc w:val="both"/>
            </w:pPr>
            <w:r w:rsidRPr="00290B05">
              <w:t xml:space="preserve">Integracja systemu DECT z pozostałymi komponentami </w:t>
            </w:r>
            <w:r w:rsidR="001834A3">
              <w:t>platformy Avaya IP Office</w:t>
            </w:r>
            <w:r w:rsidRPr="00290B05">
              <w:t>, w stopniu umożliwiającym co najmniej:  </w:t>
            </w:r>
          </w:p>
        </w:tc>
      </w:tr>
      <w:tr w:rsidR="005A6DDA" w:rsidRPr="001B6EDA" w14:paraId="1FB22B4E" w14:textId="77777777" w:rsidTr="005A6DDA">
        <w:trPr>
          <w:trHeight w:val="300"/>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088ABA" w14:textId="397527FF" w:rsidR="005A6DDA" w:rsidRPr="00290B05" w:rsidRDefault="001834A3" w:rsidP="001834A3">
            <w:pPr>
              <w:spacing w:after="0" w:line="240" w:lineRule="auto"/>
              <w:jc w:val="center"/>
            </w:pPr>
            <w:r>
              <w:t>6</w:t>
            </w:r>
            <w:r w:rsidR="005A6DDA" w:rsidRPr="00290B05">
              <w:t>.1</w:t>
            </w:r>
          </w:p>
        </w:tc>
        <w:tc>
          <w:tcPr>
            <w:tcW w:w="84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BED304" w14:textId="6BF5A87F" w:rsidR="005A6DDA" w:rsidRPr="00290B05" w:rsidRDefault="005A6DDA" w:rsidP="001834A3">
            <w:pPr>
              <w:spacing w:after="0" w:line="240" w:lineRule="auto"/>
              <w:jc w:val="both"/>
            </w:pPr>
            <w:r w:rsidRPr="00290B05">
              <w:t xml:space="preserve">dodawanie/usuwanie abonenta do systemu DECT automatycznie, po jego wykreowaniu/usunięciu w </w:t>
            </w:r>
            <w:r w:rsidR="001834A3">
              <w:t>platformie Avaya IP Office</w:t>
            </w:r>
            <w:r w:rsidRPr="00290B05">
              <w:t>,  </w:t>
            </w:r>
          </w:p>
        </w:tc>
      </w:tr>
      <w:tr w:rsidR="005A6DDA" w:rsidRPr="001B6EDA" w14:paraId="35AE7518" w14:textId="77777777" w:rsidTr="005A6DDA">
        <w:trPr>
          <w:trHeight w:val="300"/>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340390" w14:textId="5D552E27" w:rsidR="005A6DDA" w:rsidRPr="00290B05" w:rsidRDefault="001834A3" w:rsidP="001834A3">
            <w:pPr>
              <w:spacing w:after="0" w:line="240" w:lineRule="auto"/>
              <w:jc w:val="center"/>
            </w:pPr>
            <w:r>
              <w:t>6</w:t>
            </w:r>
            <w:r w:rsidR="005A6DDA" w:rsidRPr="00290B05">
              <w:t>.2</w:t>
            </w:r>
          </w:p>
        </w:tc>
        <w:tc>
          <w:tcPr>
            <w:tcW w:w="84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7975F2" w14:textId="7469DE94" w:rsidR="005A6DDA" w:rsidRPr="00290B05" w:rsidRDefault="005A6DDA" w:rsidP="001834A3">
            <w:pPr>
              <w:spacing w:after="0" w:line="240" w:lineRule="auto"/>
              <w:jc w:val="both"/>
            </w:pPr>
            <w:r w:rsidRPr="00290B05">
              <w:t xml:space="preserve">integracja z książką telefoniczną (możliwość dostępu oraz przeszukiwania centralnej książki </w:t>
            </w:r>
            <w:r w:rsidR="001834A3">
              <w:t>platformy głosowej Avaya IP Office</w:t>
            </w:r>
            <w:r w:rsidRPr="00290B05">
              <w:t xml:space="preserve"> z poziomu </w:t>
            </w:r>
            <w:r w:rsidR="001834A3">
              <w:t>t</w:t>
            </w:r>
            <w:r w:rsidRPr="00290B05">
              <w:t>elefonu DECT),  </w:t>
            </w:r>
          </w:p>
        </w:tc>
      </w:tr>
      <w:tr w:rsidR="005A6DDA" w:rsidRPr="001B6EDA" w14:paraId="09F1ECA3" w14:textId="77777777" w:rsidTr="005A6DDA">
        <w:trPr>
          <w:trHeight w:val="300"/>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CEEBB2" w14:textId="30F5280B" w:rsidR="005A6DDA" w:rsidRPr="00290B05" w:rsidRDefault="001834A3" w:rsidP="001834A3">
            <w:pPr>
              <w:spacing w:after="0" w:line="240" w:lineRule="auto"/>
              <w:jc w:val="center"/>
            </w:pPr>
            <w:r>
              <w:t>6</w:t>
            </w:r>
            <w:r w:rsidR="005A6DDA" w:rsidRPr="00290B05">
              <w:t>.3</w:t>
            </w:r>
          </w:p>
        </w:tc>
        <w:tc>
          <w:tcPr>
            <w:tcW w:w="84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34B434" w14:textId="6E01509F" w:rsidR="005A6DDA" w:rsidRPr="00290B05" w:rsidRDefault="005A6DDA" w:rsidP="001834A3">
            <w:pPr>
              <w:spacing w:after="0" w:line="240" w:lineRule="auto"/>
              <w:jc w:val="both"/>
            </w:pPr>
            <w:r w:rsidRPr="00290B05">
              <w:t xml:space="preserve">dostęp do następujących funkcji </w:t>
            </w:r>
            <w:r w:rsidR="001834A3">
              <w:t>platformy głosowej Avaya IP Office</w:t>
            </w:r>
            <w:r w:rsidR="001834A3" w:rsidRPr="00290B05">
              <w:t xml:space="preserve"> </w:t>
            </w:r>
            <w:r w:rsidRPr="00290B05">
              <w:t>z poziomu każdej słuchawki bezprzewodowej: przekierowanie połączeń, nie przeszkadzać, logowanie / wylogowanie użytkownika.  </w:t>
            </w:r>
          </w:p>
        </w:tc>
      </w:tr>
      <w:tr w:rsidR="001834A3" w:rsidRPr="001B6EDA" w14:paraId="0D128E9B" w14:textId="77777777" w:rsidTr="005A6DDA">
        <w:trPr>
          <w:trHeight w:val="300"/>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tcPr>
          <w:p w14:paraId="48025301" w14:textId="27D885AE" w:rsidR="001834A3" w:rsidRPr="00290B05" w:rsidRDefault="001834A3" w:rsidP="001834A3">
            <w:pPr>
              <w:spacing w:after="0" w:line="240" w:lineRule="auto"/>
              <w:jc w:val="center"/>
            </w:pPr>
            <w:r>
              <w:t>7</w:t>
            </w:r>
          </w:p>
        </w:tc>
        <w:tc>
          <w:tcPr>
            <w:tcW w:w="8479" w:type="dxa"/>
            <w:tcBorders>
              <w:top w:val="single" w:sz="6" w:space="0" w:color="auto"/>
              <w:left w:val="single" w:sz="6" w:space="0" w:color="auto"/>
              <w:bottom w:val="single" w:sz="6" w:space="0" w:color="auto"/>
              <w:right w:val="single" w:sz="6" w:space="0" w:color="auto"/>
            </w:tcBorders>
            <w:shd w:val="clear" w:color="auto" w:fill="auto"/>
            <w:vAlign w:val="center"/>
          </w:tcPr>
          <w:p w14:paraId="6A3370C6" w14:textId="54A2F621" w:rsidR="001834A3" w:rsidRDefault="001834A3" w:rsidP="001834A3">
            <w:pPr>
              <w:spacing w:after="0" w:line="240" w:lineRule="auto"/>
              <w:jc w:val="both"/>
            </w:pPr>
            <w:r>
              <w:t>Wymagania dla stacji bazowych IP-DECT:</w:t>
            </w:r>
          </w:p>
          <w:p w14:paraId="527A55D6" w14:textId="77777777" w:rsidR="001834A3" w:rsidRDefault="001834A3" w:rsidP="001834A3">
            <w:pPr>
              <w:spacing w:after="0" w:line="240" w:lineRule="auto"/>
              <w:jc w:val="both"/>
            </w:pPr>
            <w:r>
              <w:t>a)</w:t>
            </w:r>
            <w:r>
              <w:tab/>
              <w:t>obsługa co najmniej 4 jednoczesnych rozmów;</w:t>
            </w:r>
          </w:p>
          <w:p w14:paraId="3A3BE0E3" w14:textId="77777777" w:rsidR="001834A3" w:rsidRDefault="001834A3" w:rsidP="001834A3">
            <w:pPr>
              <w:spacing w:after="0" w:line="240" w:lineRule="auto"/>
              <w:jc w:val="both"/>
            </w:pPr>
            <w:r>
              <w:t>b)</w:t>
            </w:r>
            <w:r>
              <w:tab/>
              <w:t>port LAN 10/100Mbps do komunikacji z siecią LAN;</w:t>
            </w:r>
          </w:p>
          <w:p w14:paraId="262F3EC1" w14:textId="77777777" w:rsidR="001834A3" w:rsidRDefault="001834A3" w:rsidP="001834A3">
            <w:pPr>
              <w:spacing w:after="0" w:line="240" w:lineRule="auto"/>
              <w:jc w:val="both"/>
            </w:pPr>
            <w:r>
              <w:t>c)</w:t>
            </w:r>
            <w:r>
              <w:tab/>
              <w:t xml:space="preserve">wsparcie dla VLAN oraz </w:t>
            </w:r>
            <w:proofErr w:type="spellStart"/>
            <w:r>
              <w:t>QoS</w:t>
            </w:r>
            <w:proofErr w:type="spellEnd"/>
            <w:r>
              <w:t xml:space="preserve"> ;</w:t>
            </w:r>
          </w:p>
          <w:p w14:paraId="7D87473A" w14:textId="77777777" w:rsidR="001834A3" w:rsidRDefault="001834A3" w:rsidP="001834A3">
            <w:pPr>
              <w:spacing w:after="0" w:line="240" w:lineRule="auto"/>
              <w:jc w:val="both"/>
            </w:pPr>
            <w:r>
              <w:t>d)</w:t>
            </w:r>
            <w:r>
              <w:tab/>
              <w:t>wsparcie dla kodeków: G.711, G.729;</w:t>
            </w:r>
          </w:p>
          <w:p w14:paraId="49C48976" w14:textId="77777777" w:rsidR="001834A3" w:rsidRDefault="001834A3" w:rsidP="001834A3">
            <w:pPr>
              <w:spacing w:after="0" w:line="240" w:lineRule="auto"/>
              <w:jc w:val="both"/>
            </w:pPr>
            <w:r>
              <w:lastRenderedPageBreak/>
              <w:t>e)</w:t>
            </w:r>
            <w:r>
              <w:tab/>
              <w:t xml:space="preserve">możliwość zasilania z użyciem Power </w:t>
            </w:r>
            <w:proofErr w:type="spellStart"/>
            <w:r>
              <w:t>over</w:t>
            </w:r>
            <w:proofErr w:type="spellEnd"/>
            <w:r>
              <w:t xml:space="preserve"> Ethernet IEEE 802.3af lub za pomocą lokalnego zasilacza;</w:t>
            </w:r>
          </w:p>
          <w:p w14:paraId="13DA446B" w14:textId="77777777" w:rsidR="001834A3" w:rsidRDefault="001834A3" w:rsidP="001834A3">
            <w:pPr>
              <w:spacing w:after="0" w:line="240" w:lineRule="auto"/>
              <w:jc w:val="both"/>
            </w:pPr>
            <w:r>
              <w:t>f)</w:t>
            </w:r>
            <w:r>
              <w:tab/>
              <w:t>możliwość pracy w zakresie temperatur od -5 do +50 stopni Celsjusza;</w:t>
            </w:r>
          </w:p>
          <w:p w14:paraId="7D0ADE32" w14:textId="77777777" w:rsidR="001834A3" w:rsidRDefault="001834A3" w:rsidP="001834A3">
            <w:pPr>
              <w:spacing w:after="0" w:line="240" w:lineRule="auto"/>
              <w:jc w:val="both"/>
            </w:pPr>
            <w:r>
              <w:t>g)</w:t>
            </w:r>
            <w:r>
              <w:tab/>
              <w:t>możliwość instalacji na ścianie (w komplecie należy dołączyć uchwyt montażowy).</w:t>
            </w:r>
          </w:p>
          <w:p w14:paraId="1C3735AA" w14:textId="621F45E1" w:rsidR="001834A3" w:rsidRPr="00290B05" w:rsidRDefault="001834A3" w:rsidP="001834A3">
            <w:pPr>
              <w:spacing w:after="0" w:line="240" w:lineRule="auto"/>
              <w:jc w:val="both"/>
            </w:pPr>
            <w:r>
              <w:t xml:space="preserve">h) </w:t>
            </w:r>
            <w:r>
              <w:tab/>
            </w:r>
            <w:r w:rsidRPr="001834A3">
              <w:t xml:space="preserve">dla </w:t>
            </w:r>
            <w:r>
              <w:t>5</w:t>
            </w:r>
            <w:r w:rsidRPr="001834A3">
              <w:t xml:space="preserve"> stacji należy dostarczyć kompatybilną obudowę, zgodną z IP68, umożliwiającą zainstalowanie stacji bazowej na zewnątrz (np. elewacji, słupie).</w:t>
            </w:r>
          </w:p>
        </w:tc>
      </w:tr>
      <w:tr w:rsidR="001834A3" w:rsidRPr="001B6EDA" w14:paraId="5EA135CE" w14:textId="77777777" w:rsidTr="005A6DDA">
        <w:trPr>
          <w:trHeight w:val="300"/>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tcPr>
          <w:p w14:paraId="1A5AE3F0" w14:textId="699A0D9B" w:rsidR="001834A3" w:rsidRDefault="001834A3" w:rsidP="001834A3">
            <w:pPr>
              <w:spacing w:after="0" w:line="240" w:lineRule="auto"/>
              <w:jc w:val="center"/>
            </w:pPr>
            <w:r>
              <w:lastRenderedPageBreak/>
              <w:t>8</w:t>
            </w:r>
          </w:p>
        </w:tc>
        <w:tc>
          <w:tcPr>
            <w:tcW w:w="8479" w:type="dxa"/>
            <w:tcBorders>
              <w:top w:val="single" w:sz="6" w:space="0" w:color="auto"/>
              <w:left w:val="single" w:sz="6" w:space="0" w:color="auto"/>
              <w:bottom w:val="single" w:sz="6" w:space="0" w:color="auto"/>
              <w:right w:val="single" w:sz="6" w:space="0" w:color="auto"/>
            </w:tcBorders>
            <w:shd w:val="clear" w:color="auto" w:fill="auto"/>
            <w:vAlign w:val="center"/>
          </w:tcPr>
          <w:p w14:paraId="76C0236B" w14:textId="11B0DE7B" w:rsidR="001834A3" w:rsidRDefault="001834A3" w:rsidP="001834A3">
            <w:pPr>
              <w:spacing w:after="0" w:line="240" w:lineRule="auto"/>
              <w:jc w:val="both"/>
            </w:pPr>
            <w:r>
              <w:t>Wymagania dla słuchawek bezprzewodowych DECT:</w:t>
            </w:r>
          </w:p>
          <w:p w14:paraId="441BBEA6" w14:textId="77777777" w:rsidR="001834A3" w:rsidRDefault="001834A3" w:rsidP="001834A3">
            <w:pPr>
              <w:spacing w:after="0" w:line="240" w:lineRule="auto"/>
              <w:jc w:val="both"/>
            </w:pPr>
            <w:r>
              <w:t>a)</w:t>
            </w:r>
            <w:r>
              <w:tab/>
              <w:t>klasa szczelności co najmniej IP40;</w:t>
            </w:r>
          </w:p>
          <w:p w14:paraId="776DCD07" w14:textId="77777777" w:rsidR="001834A3" w:rsidRDefault="001834A3" w:rsidP="001834A3">
            <w:pPr>
              <w:spacing w:after="0" w:line="240" w:lineRule="auto"/>
              <w:jc w:val="both"/>
            </w:pPr>
            <w:r>
              <w:t>b)</w:t>
            </w:r>
            <w:r>
              <w:tab/>
              <w:t>kolorowy (min. 100 000 kolorów), podświetlany wyświetlacz LCD lub LED;</w:t>
            </w:r>
          </w:p>
          <w:p w14:paraId="4A5F86DE" w14:textId="77777777" w:rsidR="001834A3" w:rsidRDefault="001834A3" w:rsidP="001834A3">
            <w:pPr>
              <w:spacing w:after="0" w:line="240" w:lineRule="auto"/>
              <w:jc w:val="both"/>
            </w:pPr>
            <w:r>
              <w:t>c)</w:t>
            </w:r>
            <w:r>
              <w:tab/>
              <w:t>menu słuchawki dostępne w języku polskim;</w:t>
            </w:r>
          </w:p>
          <w:p w14:paraId="4DC5E045" w14:textId="77777777" w:rsidR="001834A3" w:rsidRDefault="001834A3" w:rsidP="001834A3">
            <w:pPr>
              <w:spacing w:after="0" w:line="240" w:lineRule="auto"/>
              <w:jc w:val="both"/>
            </w:pPr>
            <w:r>
              <w:t>d)</w:t>
            </w:r>
            <w:r>
              <w:tab/>
              <w:t>przycisk nawigacyjny do obsługi funkcji słuchawki;</w:t>
            </w:r>
          </w:p>
          <w:p w14:paraId="3B3986F1" w14:textId="77777777" w:rsidR="001834A3" w:rsidRDefault="001834A3" w:rsidP="001834A3">
            <w:pPr>
              <w:spacing w:after="0" w:line="240" w:lineRule="auto"/>
              <w:jc w:val="both"/>
            </w:pPr>
            <w:r>
              <w:t>e)</w:t>
            </w:r>
            <w:r>
              <w:tab/>
              <w:t>system głośnomówiący;</w:t>
            </w:r>
          </w:p>
          <w:p w14:paraId="28FA9728" w14:textId="77777777" w:rsidR="001834A3" w:rsidRDefault="001834A3" w:rsidP="001834A3">
            <w:pPr>
              <w:spacing w:after="0" w:line="240" w:lineRule="auto"/>
              <w:jc w:val="both"/>
            </w:pPr>
            <w:r>
              <w:t>f)</w:t>
            </w:r>
            <w:r>
              <w:tab/>
              <w:t>regulacja głośności słuchawki i głośnika – min. 7 poziomów;</w:t>
            </w:r>
          </w:p>
          <w:p w14:paraId="30859793" w14:textId="77777777" w:rsidR="001834A3" w:rsidRDefault="001834A3" w:rsidP="001834A3">
            <w:pPr>
              <w:spacing w:after="0" w:line="240" w:lineRule="auto"/>
              <w:jc w:val="both"/>
            </w:pPr>
            <w:r>
              <w:t>g)</w:t>
            </w:r>
            <w:r>
              <w:tab/>
              <w:t>alarm wibracyjny;</w:t>
            </w:r>
          </w:p>
          <w:p w14:paraId="1014A52B" w14:textId="77777777" w:rsidR="001834A3" w:rsidRDefault="001834A3" w:rsidP="001834A3">
            <w:pPr>
              <w:spacing w:after="0" w:line="240" w:lineRule="auto"/>
              <w:jc w:val="both"/>
            </w:pPr>
            <w:r>
              <w:t>h)</w:t>
            </w:r>
            <w:r>
              <w:tab/>
              <w:t>dostęp do list ostatnio zrealizowanych połączeń – min. 20 pozycji;</w:t>
            </w:r>
          </w:p>
          <w:p w14:paraId="03111008" w14:textId="77777777" w:rsidR="001834A3" w:rsidRDefault="001834A3" w:rsidP="001834A3">
            <w:pPr>
              <w:spacing w:after="0" w:line="240" w:lineRule="auto"/>
              <w:jc w:val="both"/>
            </w:pPr>
            <w:r>
              <w:t>i)</w:t>
            </w:r>
            <w:r>
              <w:tab/>
              <w:t>wbudowana lokalna książka telefoniczna w pojemności co najmniej 200 wpisów, z możliwością przypisania indywidualnego tonu dzwonka do kontaktu;</w:t>
            </w:r>
          </w:p>
          <w:p w14:paraId="40A0B93B" w14:textId="77777777" w:rsidR="001834A3" w:rsidRDefault="001834A3" w:rsidP="001834A3">
            <w:pPr>
              <w:spacing w:after="0" w:line="240" w:lineRule="auto"/>
              <w:jc w:val="both"/>
            </w:pPr>
            <w:r>
              <w:t>j)</w:t>
            </w:r>
            <w:r>
              <w:tab/>
              <w:t>funkcja blokady klawiatury;</w:t>
            </w:r>
          </w:p>
          <w:p w14:paraId="70EEDA5C" w14:textId="77777777" w:rsidR="001834A3" w:rsidRDefault="001834A3" w:rsidP="001834A3">
            <w:pPr>
              <w:spacing w:after="0" w:line="240" w:lineRule="auto"/>
              <w:jc w:val="both"/>
            </w:pPr>
            <w:r>
              <w:t>k)</w:t>
            </w:r>
            <w:r>
              <w:tab/>
              <w:t>funkcja „ciche ładowanie” – automatyczne wyciszenie dzwonienia, po umieszczeniu słuchawki w ładowarce;</w:t>
            </w:r>
          </w:p>
          <w:p w14:paraId="163BE8AC" w14:textId="77777777" w:rsidR="001834A3" w:rsidRDefault="001834A3" w:rsidP="001834A3">
            <w:pPr>
              <w:spacing w:after="0" w:line="240" w:lineRule="auto"/>
              <w:jc w:val="both"/>
            </w:pPr>
            <w:r>
              <w:t>l)</w:t>
            </w:r>
            <w:r>
              <w:tab/>
              <w:t>funkcja automatycznego odbioru połączenia;</w:t>
            </w:r>
          </w:p>
          <w:p w14:paraId="1359BBAB" w14:textId="3C805AAF" w:rsidR="001834A3" w:rsidRDefault="001834A3" w:rsidP="001834A3">
            <w:pPr>
              <w:spacing w:after="0" w:line="240" w:lineRule="auto"/>
              <w:jc w:val="both"/>
            </w:pPr>
            <w:r>
              <w:t>m)</w:t>
            </w:r>
            <w:r>
              <w:tab/>
              <w:t>dostęp z poziomu słuchawki do funkcji platformy Avaya IP Office, obejmujący:</w:t>
            </w:r>
          </w:p>
          <w:p w14:paraId="748156E6" w14:textId="77777777" w:rsidR="001834A3" w:rsidRDefault="001834A3" w:rsidP="001834A3">
            <w:pPr>
              <w:spacing w:after="0" w:line="240" w:lineRule="auto"/>
              <w:ind w:left="283"/>
              <w:jc w:val="both"/>
            </w:pPr>
            <w:r>
              <w:t>i.</w:t>
            </w:r>
            <w:r>
              <w:tab/>
              <w:t>połączenia zewnętrzne i wewnętrzne, z prawidłową sygnalizacją numeru CLIP oraz nazwy abonenta CNIP,</w:t>
            </w:r>
          </w:p>
          <w:p w14:paraId="20EFB635" w14:textId="77777777" w:rsidR="001834A3" w:rsidRDefault="001834A3" w:rsidP="001834A3">
            <w:pPr>
              <w:spacing w:after="0" w:line="240" w:lineRule="auto"/>
              <w:ind w:left="283"/>
              <w:jc w:val="both"/>
            </w:pPr>
            <w:r>
              <w:t>ii.</w:t>
            </w:r>
            <w:r>
              <w:tab/>
              <w:t>transfer połączenia z zapowiedzią / ślepy,</w:t>
            </w:r>
          </w:p>
          <w:p w14:paraId="272DE473" w14:textId="77777777" w:rsidR="001834A3" w:rsidRDefault="001834A3" w:rsidP="001834A3">
            <w:pPr>
              <w:spacing w:after="0" w:line="240" w:lineRule="auto"/>
              <w:ind w:left="283"/>
              <w:jc w:val="both"/>
            </w:pPr>
            <w:r>
              <w:t>iii.</w:t>
            </w:r>
            <w:r>
              <w:tab/>
              <w:t>zawieszenie/przywrócenie zawieszonej rozmowy,</w:t>
            </w:r>
          </w:p>
          <w:p w14:paraId="26A1D769" w14:textId="77777777" w:rsidR="001834A3" w:rsidRDefault="001834A3" w:rsidP="001834A3">
            <w:pPr>
              <w:spacing w:after="0" w:line="240" w:lineRule="auto"/>
              <w:ind w:left="283"/>
              <w:jc w:val="both"/>
            </w:pPr>
            <w:r>
              <w:t>iv.</w:t>
            </w:r>
            <w:r>
              <w:tab/>
              <w:t>połączenie maklerskie (rozmowa naprzemienna z dwoma rozmówcami),</w:t>
            </w:r>
          </w:p>
          <w:p w14:paraId="29D1A380" w14:textId="77777777" w:rsidR="001834A3" w:rsidRDefault="001834A3" w:rsidP="001834A3">
            <w:pPr>
              <w:spacing w:after="0" w:line="240" w:lineRule="auto"/>
              <w:ind w:left="283"/>
              <w:jc w:val="both"/>
            </w:pPr>
            <w:r>
              <w:t>v.</w:t>
            </w:r>
            <w:r>
              <w:tab/>
              <w:t>możliwość uczestniczenia abonenta w grupach dzwonienia,</w:t>
            </w:r>
          </w:p>
          <w:p w14:paraId="6A7A1C7F" w14:textId="77777777" w:rsidR="001834A3" w:rsidRDefault="001834A3" w:rsidP="001834A3">
            <w:pPr>
              <w:spacing w:after="0" w:line="240" w:lineRule="auto"/>
              <w:ind w:left="283"/>
              <w:jc w:val="both"/>
            </w:pPr>
            <w:r>
              <w:t>vi.</w:t>
            </w:r>
            <w:r>
              <w:tab/>
              <w:t>funkcja Nie przeszkadzać / przekierowania połączeń,</w:t>
            </w:r>
          </w:p>
          <w:p w14:paraId="69A41A69" w14:textId="77777777" w:rsidR="001834A3" w:rsidRDefault="001834A3" w:rsidP="001834A3">
            <w:pPr>
              <w:spacing w:after="0" w:line="240" w:lineRule="auto"/>
              <w:ind w:left="283"/>
              <w:jc w:val="both"/>
            </w:pPr>
            <w:r>
              <w:t>vii.</w:t>
            </w:r>
            <w:r>
              <w:tab/>
              <w:t>sygnalizacja wiadomości w poczcie głosowej (MWI).</w:t>
            </w:r>
          </w:p>
          <w:p w14:paraId="57962C06" w14:textId="77777777" w:rsidR="001834A3" w:rsidRDefault="001834A3" w:rsidP="001834A3">
            <w:pPr>
              <w:spacing w:after="0" w:line="240" w:lineRule="auto"/>
              <w:jc w:val="both"/>
            </w:pPr>
            <w:r>
              <w:t>n)</w:t>
            </w:r>
            <w:r>
              <w:tab/>
              <w:t>klips do mocowania słuchawki do paska lub kieszeni;</w:t>
            </w:r>
          </w:p>
          <w:p w14:paraId="3723C204" w14:textId="77777777" w:rsidR="001834A3" w:rsidRDefault="001834A3" w:rsidP="001834A3">
            <w:pPr>
              <w:spacing w:after="0" w:line="240" w:lineRule="auto"/>
              <w:jc w:val="both"/>
            </w:pPr>
            <w:r>
              <w:t>o)</w:t>
            </w:r>
            <w:r>
              <w:tab/>
              <w:t>wymienna bateria;</w:t>
            </w:r>
          </w:p>
          <w:p w14:paraId="2BE72C74" w14:textId="71D6D324" w:rsidR="001834A3" w:rsidRDefault="001834A3" w:rsidP="001834A3">
            <w:pPr>
              <w:spacing w:after="0" w:line="240" w:lineRule="auto"/>
              <w:jc w:val="both"/>
            </w:pPr>
            <w:r>
              <w:t>p)</w:t>
            </w:r>
            <w:r>
              <w:tab/>
              <w:t>złącze JACK 3,5mm do podłączenia opcjonalnego zestawu słuchawkowego.</w:t>
            </w:r>
          </w:p>
        </w:tc>
      </w:tr>
    </w:tbl>
    <w:p w14:paraId="6D4490B8" w14:textId="77777777" w:rsidR="00483FCD" w:rsidRDefault="00483FCD" w:rsidP="001834A3">
      <w:pPr>
        <w:jc w:val="both"/>
      </w:pPr>
    </w:p>
    <w:sectPr w:rsidR="00483F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EEFBD" w14:textId="77777777" w:rsidR="00FC384A" w:rsidRDefault="00FC384A" w:rsidP="00FA7F44">
      <w:pPr>
        <w:spacing w:after="0" w:line="240" w:lineRule="auto"/>
      </w:pPr>
      <w:r>
        <w:separator/>
      </w:r>
    </w:p>
  </w:endnote>
  <w:endnote w:type="continuationSeparator" w:id="0">
    <w:p w14:paraId="3D741958" w14:textId="77777777" w:rsidR="00FC384A" w:rsidRDefault="00FC384A" w:rsidP="00FA7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E2A7C" w14:textId="77777777" w:rsidR="00FC384A" w:rsidRDefault="00FC384A" w:rsidP="00FA7F44">
      <w:pPr>
        <w:spacing w:after="0" w:line="240" w:lineRule="auto"/>
      </w:pPr>
      <w:r>
        <w:separator/>
      </w:r>
    </w:p>
  </w:footnote>
  <w:footnote w:type="continuationSeparator" w:id="0">
    <w:p w14:paraId="3A0C0139" w14:textId="77777777" w:rsidR="00FC384A" w:rsidRDefault="00FC384A" w:rsidP="00FA7F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869"/>
    <w:rsid w:val="00090EB8"/>
    <w:rsid w:val="001834A3"/>
    <w:rsid w:val="004431DB"/>
    <w:rsid w:val="00483FCD"/>
    <w:rsid w:val="005A6DDA"/>
    <w:rsid w:val="006D16B8"/>
    <w:rsid w:val="006F5869"/>
    <w:rsid w:val="007E4717"/>
    <w:rsid w:val="00A958C4"/>
    <w:rsid w:val="00D44574"/>
    <w:rsid w:val="00FA7F44"/>
    <w:rsid w:val="00FC384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0A1590"/>
  <w15:chartTrackingRefBased/>
  <w15:docId w15:val="{CFF921E8-FFAA-490F-837F-6B63C8958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6DDA"/>
  </w:style>
  <w:style w:type="paragraph" w:styleId="Nagwek1">
    <w:name w:val="heading 1"/>
    <w:basedOn w:val="Normalny"/>
    <w:next w:val="Normalny"/>
    <w:link w:val="Nagwek1Znak"/>
    <w:uiPriority w:val="9"/>
    <w:qFormat/>
    <w:rsid w:val="006F58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F58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F586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F586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F586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F586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F586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F586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F586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F586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F586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F586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F586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F586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F586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F586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F586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F5869"/>
    <w:rPr>
      <w:rFonts w:eastAsiaTheme="majorEastAsia" w:cstheme="majorBidi"/>
      <w:color w:val="272727" w:themeColor="text1" w:themeTint="D8"/>
    </w:rPr>
  </w:style>
  <w:style w:type="paragraph" w:styleId="Tytu">
    <w:name w:val="Title"/>
    <w:basedOn w:val="Normalny"/>
    <w:next w:val="Normalny"/>
    <w:link w:val="TytuZnak"/>
    <w:uiPriority w:val="10"/>
    <w:qFormat/>
    <w:rsid w:val="006F58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F586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F586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F586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F5869"/>
    <w:pPr>
      <w:spacing w:before="160"/>
      <w:jc w:val="center"/>
    </w:pPr>
    <w:rPr>
      <w:i/>
      <w:iCs/>
      <w:color w:val="404040" w:themeColor="text1" w:themeTint="BF"/>
    </w:rPr>
  </w:style>
  <w:style w:type="character" w:customStyle="1" w:styleId="CytatZnak">
    <w:name w:val="Cytat Znak"/>
    <w:basedOn w:val="Domylnaczcionkaakapitu"/>
    <w:link w:val="Cytat"/>
    <w:uiPriority w:val="29"/>
    <w:rsid w:val="006F5869"/>
    <w:rPr>
      <w:i/>
      <w:iCs/>
      <w:color w:val="404040" w:themeColor="text1" w:themeTint="BF"/>
    </w:rPr>
  </w:style>
  <w:style w:type="paragraph" w:styleId="Akapitzlist">
    <w:name w:val="List Paragraph"/>
    <w:basedOn w:val="Normalny"/>
    <w:uiPriority w:val="34"/>
    <w:qFormat/>
    <w:rsid w:val="006F5869"/>
    <w:pPr>
      <w:ind w:left="720"/>
      <w:contextualSpacing/>
    </w:pPr>
  </w:style>
  <w:style w:type="character" w:styleId="Wyrnienieintensywne">
    <w:name w:val="Intense Emphasis"/>
    <w:basedOn w:val="Domylnaczcionkaakapitu"/>
    <w:uiPriority w:val="21"/>
    <w:qFormat/>
    <w:rsid w:val="006F5869"/>
    <w:rPr>
      <w:i/>
      <w:iCs/>
      <w:color w:val="0F4761" w:themeColor="accent1" w:themeShade="BF"/>
    </w:rPr>
  </w:style>
  <w:style w:type="paragraph" w:styleId="Cytatintensywny">
    <w:name w:val="Intense Quote"/>
    <w:basedOn w:val="Normalny"/>
    <w:next w:val="Normalny"/>
    <w:link w:val="CytatintensywnyZnak"/>
    <w:uiPriority w:val="30"/>
    <w:qFormat/>
    <w:rsid w:val="006F58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F5869"/>
    <w:rPr>
      <w:i/>
      <w:iCs/>
      <w:color w:val="0F4761" w:themeColor="accent1" w:themeShade="BF"/>
    </w:rPr>
  </w:style>
  <w:style w:type="character" w:styleId="Odwoanieintensywne">
    <w:name w:val="Intense Reference"/>
    <w:basedOn w:val="Domylnaczcionkaakapitu"/>
    <w:uiPriority w:val="32"/>
    <w:qFormat/>
    <w:rsid w:val="006F5869"/>
    <w:rPr>
      <w:b/>
      <w:bCs/>
      <w:smallCaps/>
      <w:color w:val="0F4761" w:themeColor="accent1" w:themeShade="BF"/>
      <w:spacing w:val="5"/>
    </w:rPr>
  </w:style>
  <w:style w:type="paragraph" w:styleId="Nagwek">
    <w:name w:val="header"/>
    <w:basedOn w:val="Normalny"/>
    <w:link w:val="NagwekZnak"/>
    <w:uiPriority w:val="99"/>
    <w:unhideWhenUsed/>
    <w:rsid w:val="00FA7F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7F44"/>
  </w:style>
  <w:style w:type="paragraph" w:styleId="Stopka">
    <w:name w:val="footer"/>
    <w:basedOn w:val="Normalny"/>
    <w:link w:val="StopkaZnak"/>
    <w:uiPriority w:val="99"/>
    <w:unhideWhenUsed/>
    <w:rsid w:val="00FA7F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7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731</Words>
  <Characters>4386</Characters>
  <Application>Microsoft Office Word</Application>
  <DocSecurity>0</DocSecurity>
  <Lines>36</Lines>
  <Paragraphs>10</Paragraphs>
  <ScaleCrop>false</ScaleCrop>
  <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Mateusz</cp:lastModifiedBy>
  <cp:revision>2</cp:revision>
  <dcterms:created xsi:type="dcterms:W3CDTF">2025-02-04T11:56:00Z</dcterms:created>
  <dcterms:modified xsi:type="dcterms:W3CDTF">2025-02-04T16:57:00Z</dcterms:modified>
</cp:coreProperties>
</file>